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GovExec,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GovExec.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Askew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Gupta,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Askew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epidemiologist.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Askew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disenfranchised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cost-effective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under-resourced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Askew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under-resourced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under-resourced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buprenorphine,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suboxone,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automaker?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Askew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NSDUH,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under-resourced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face-to-face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technicians.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on-the-job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Askew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Askew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de-risking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Askew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Ethan Berke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Askew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data-driven,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SAMHSA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GovExec,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8 (Completed  08/24/23)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24,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fB-GNAUiBxGqjuBBJy-y9MZCOKDHYpG4jUop6SyxkgbqN_ISt-UPEGK47nCOkNjsN0wjbFK6y050OREjaRFbw6JtYAg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